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F1" w:rsidRDefault="003174A0">
      <w:pPr>
        <w:rPr>
          <w:rFonts w:ascii="Verdana" w:hAnsi="Verdana"/>
          <w:b/>
          <w:bCs/>
          <w:caps/>
          <w:color w:val="003366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aps/>
          <w:color w:val="003366"/>
          <w:sz w:val="17"/>
          <w:szCs w:val="17"/>
          <w:shd w:val="clear" w:color="auto" w:fill="FFFFFF"/>
        </w:rPr>
        <w:t>ATTI STRAORDINARIA AMMINISTRAZIONE FAVORE DI INTERDETTO O MINORE SOTTO TUTELA</w:t>
      </w:r>
    </w:p>
    <w:p w:rsidR="004703B6" w:rsidRDefault="004703B6" w:rsidP="004703B6">
      <w:pPr>
        <w:pStyle w:val="NormaleWeb"/>
        <w:shd w:val="clear" w:color="auto" w:fill="FFFFFF"/>
        <w:spacing w:before="96" w:beforeAutospacing="0" w:after="192" w:afterAutospacing="0"/>
        <w:jc w:val="both"/>
        <w:rPr>
          <w:rFonts w:ascii="Verdana" w:hAnsi="Verdana"/>
          <w:color w:val="525252"/>
          <w:sz w:val="16"/>
          <w:szCs w:val="16"/>
        </w:rPr>
      </w:pPr>
      <w:r>
        <w:rPr>
          <w:rFonts w:ascii="Verdana" w:hAnsi="Verdana"/>
          <w:color w:val="525252"/>
          <w:sz w:val="16"/>
          <w:szCs w:val="16"/>
        </w:rPr>
        <w:t xml:space="preserve">Il Giudice Tutelare autorizza il tutore al compimento di alcuni atti di straordinaria amministrazione (acquisto di beni mobili e immobili, assunzione di obbligazioni, consenso alla cancellazione di ipoteche e svincolo di pegni, accettazione o rinunzie di eredità e donazioni, riscossione di </w:t>
      </w:r>
      <w:proofErr w:type="spellStart"/>
      <w:proofErr w:type="gramStart"/>
      <w:r>
        <w:rPr>
          <w:rFonts w:ascii="Verdana" w:hAnsi="Verdana"/>
          <w:color w:val="525252"/>
          <w:sz w:val="16"/>
          <w:szCs w:val="16"/>
        </w:rPr>
        <w:t>capitali,reimpiego</w:t>
      </w:r>
      <w:proofErr w:type="spellEnd"/>
      <w:proofErr w:type="gramEnd"/>
      <w:r>
        <w:rPr>
          <w:rFonts w:ascii="Verdana" w:hAnsi="Verdana"/>
          <w:color w:val="525252"/>
          <w:sz w:val="16"/>
          <w:szCs w:val="16"/>
        </w:rPr>
        <w:t xml:space="preserve"> di somme, contrazione di mutui, promuovere giudizi, ecc.) quando esso sia necessario ed utile per il minore sotto tutela*  o per l’interdetto.</w:t>
      </w:r>
    </w:p>
    <w:p w:rsidR="004703B6" w:rsidRDefault="004703B6" w:rsidP="004703B6">
      <w:pPr>
        <w:pStyle w:val="NormaleWeb"/>
        <w:shd w:val="clear" w:color="auto" w:fill="FFFFFF"/>
        <w:spacing w:before="96" w:beforeAutospacing="0" w:after="192" w:afterAutospacing="0"/>
        <w:jc w:val="both"/>
        <w:rPr>
          <w:rFonts w:ascii="Verdana" w:hAnsi="Verdana"/>
          <w:color w:val="525252"/>
          <w:sz w:val="16"/>
          <w:szCs w:val="16"/>
        </w:rPr>
      </w:pPr>
      <w:r>
        <w:rPr>
          <w:rFonts w:ascii="Verdana" w:hAnsi="Verdana"/>
          <w:color w:val="525252"/>
          <w:sz w:val="16"/>
          <w:szCs w:val="16"/>
        </w:rPr>
        <w:t>* Se entrambi i genitori sono morti o per altre cause non possono esercitare la responsabilità genitoriale, si apre la tutela presso il Tribunale del circondario dove è la sede principale degli affari e interessi del minore.</w:t>
      </w:r>
    </w:p>
    <w:p w:rsidR="004703B6" w:rsidRDefault="004703B6" w:rsidP="004703B6">
      <w:pPr>
        <w:pStyle w:val="NormaleWeb"/>
        <w:shd w:val="clear" w:color="auto" w:fill="FFFFFF"/>
        <w:spacing w:before="96" w:beforeAutospacing="0" w:after="192" w:afterAutospacing="0"/>
        <w:jc w:val="both"/>
        <w:rPr>
          <w:rFonts w:ascii="Verdana" w:hAnsi="Verdana"/>
          <w:color w:val="525252"/>
          <w:sz w:val="16"/>
          <w:szCs w:val="16"/>
        </w:rPr>
      </w:pPr>
      <w:r>
        <w:rPr>
          <w:rFonts w:ascii="Verdana" w:hAnsi="Verdana"/>
          <w:color w:val="525252"/>
          <w:sz w:val="16"/>
          <w:szCs w:val="16"/>
        </w:rPr>
        <w:t>Per altri atti di straordinaria amministrazione è necessaria invece l'autorizzazione del Tribunale (per vendere: beni immobili, beni mobili, per costituire pegni o ipoteche; procedere a divisioni o promuovere i relativi giudizi, fare compromessi e transazioni o accettare concordati).</w:t>
      </w:r>
    </w:p>
    <w:tbl>
      <w:tblPr>
        <w:tblW w:w="1902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4"/>
        <w:gridCol w:w="2148"/>
      </w:tblGrid>
      <w:tr w:rsidR="00F46B72" w:rsidRPr="00801BC7" w:rsidTr="00E13F04">
        <w:trPr>
          <w:tblCellSpacing w:w="15" w:type="dxa"/>
        </w:trPr>
        <w:tc>
          <w:tcPr>
            <w:tcW w:w="16829" w:type="dxa"/>
            <w:tcBorders>
              <w:top w:val="nil"/>
              <w:left w:val="nil"/>
              <w:bottom w:val="dotted" w:sz="6" w:space="0" w:color="003366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B72" w:rsidRPr="00F46B72" w:rsidRDefault="00F46B72" w:rsidP="00F46B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3366"/>
                <w:sz w:val="17"/>
                <w:szCs w:val="17"/>
                <w:lang w:eastAsia="it-IT"/>
              </w:rPr>
            </w:pPr>
            <w:r w:rsidRPr="00F46B72">
              <w:rPr>
                <w:rFonts w:ascii="Verdana" w:eastAsia="Times New Roman" w:hAnsi="Verdana" w:cs="Times New Roman"/>
                <w:b/>
                <w:bCs/>
                <w:caps/>
                <w:color w:val="003366"/>
                <w:sz w:val="17"/>
                <w:szCs w:val="17"/>
                <w:lang w:eastAsia="it-IT"/>
              </w:rPr>
              <w:t>RIFERIMENTI NORMATIVI</w:t>
            </w:r>
            <w:r>
              <w:rPr>
                <w:rFonts w:ascii="Verdana" w:eastAsia="Times New Roman" w:hAnsi="Verdana" w:cs="Times New Roman"/>
                <w:b/>
                <w:bCs/>
                <w:caps/>
                <w:color w:val="003366"/>
                <w:sz w:val="17"/>
                <w:szCs w:val="17"/>
                <w:lang w:eastAsia="it-IT"/>
              </w:rPr>
              <w:t xml:space="preserve">  </w:t>
            </w:r>
          </w:p>
          <w:p w:rsidR="00F46B72" w:rsidRPr="00F46B72" w:rsidRDefault="003C2073" w:rsidP="00F46B72">
            <w:pPr>
              <w:pStyle w:val="NormaleWeb"/>
              <w:spacing w:before="96" w:beforeAutospacing="0" w:after="192" w:afterAutospacing="0"/>
              <w:rPr>
                <w:rFonts w:ascii="Verdana" w:hAnsi="Verdana"/>
                <w:color w:val="525252"/>
                <w:sz w:val="16"/>
                <w:szCs w:val="16"/>
                <w:lang w:val="en-US"/>
              </w:rPr>
            </w:pPr>
            <w:hyperlink r:id="rId5" w:history="1">
              <w:r w:rsidR="00F46B72" w:rsidRPr="00801BC7">
                <w:rPr>
                  <w:rFonts w:ascii="Verdana" w:hAnsi="Verdana"/>
                  <w:b/>
                  <w:bCs/>
                  <w:color w:val="336699"/>
                  <w:sz w:val="16"/>
                  <w:szCs w:val="16"/>
                  <w:u w:val="single"/>
                </w:rPr>
                <w:br/>
              </w:r>
              <w:r w:rsidR="00F46B72" w:rsidRPr="00801BC7">
                <w:rPr>
                  <w:rStyle w:val="Collegamentoipertestuale"/>
                  <w:rFonts w:ascii="Verdana" w:hAnsi="Verdana"/>
                  <w:b/>
                  <w:bCs/>
                  <w:color w:val="336699"/>
                  <w:sz w:val="16"/>
                  <w:szCs w:val="16"/>
                </w:rPr>
                <w:t>Art. 374</w:t>
              </w:r>
            </w:hyperlink>
            <w:r w:rsidR="00F46B72" w:rsidRPr="00801BC7">
              <w:rPr>
                <w:rStyle w:val="Enfasigrassetto"/>
                <w:rFonts w:ascii="Verdana" w:hAnsi="Verdana"/>
                <w:color w:val="525252"/>
                <w:sz w:val="16"/>
                <w:szCs w:val="16"/>
              </w:rPr>
              <w:t> - </w:t>
            </w:r>
            <w:hyperlink r:id="rId6" w:history="1">
              <w:r w:rsidR="00F46B72" w:rsidRPr="00801BC7">
                <w:rPr>
                  <w:rStyle w:val="Collegamentoipertestuale"/>
                  <w:rFonts w:ascii="Verdana" w:hAnsi="Verdana"/>
                  <w:b/>
                  <w:bCs/>
                  <w:color w:val="336699"/>
                  <w:sz w:val="16"/>
                  <w:szCs w:val="16"/>
                </w:rPr>
                <w:t>375 cod. civ.</w:t>
              </w:r>
            </w:hyperlink>
            <w:r w:rsidR="00F46B72" w:rsidRPr="00801BC7">
              <w:rPr>
                <w:rStyle w:val="Enfasigrassetto"/>
                <w:rFonts w:ascii="Verdana" w:hAnsi="Verdana"/>
                <w:color w:val="525252"/>
                <w:sz w:val="16"/>
                <w:szCs w:val="16"/>
              </w:rPr>
              <w:t> </w:t>
            </w:r>
            <w:r w:rsidR="00F46B72" w:rsidRPr="00F46B72">
              <w:rPr>
                <w:rStyle w:val="Enfasigrassetto"/>
                <w:rFonts w:ascii="Verdana" w:hAnsi="Verdana"/>
                <w:color w:val="525252"/>
                <w:sz w:val="16"/>
                <w:szCs w:val="16"/>
                <w:lang w:val="en-US"/>
              </w:rPr>
              <w:t>- </w:t>
            </w:r>
            <w:hyperlink r:id="rId7" w:history="1">
              <w:r w:rsidR="00F46B72" w:rsidRPr="00F46B72">
                <w:rPr>
                  <w:rStyle w:val="Collegamentoipertestuale"/>
                  <w:rFonts w:ascii="Verdana" w:hAnsi="Verdana"/>
                  <w:b/>
                  <w:bCs/>
                  <w:color w:val="336699"/>
                  <w:sz w:val="16"/>
                  <w:szCs w:val="16"/>
                  <w:lang w:val="en-US"/>
                </w:rPr>
                <w:t>424 cod. civ.</w:t>
              </w:r>
            </w:hyperlink>
          </w:p>
          <w:p w:rsidR="00F46B72" w:rsidRPr="00F46B72" w:rsidRDefault="00F46B72" w:rsidP="00F46B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3366"/>
                <w:sz w:val="17"/>
                <w:szCs w:val="17"/>
                <w:lang w:val="en-US" w:eastAsia="it-IT"/>
              </w:rPr>
            </w:pPr>
          </w:p>
        </w:tc>
        <w:tc>
          <w:tcPr>
            <w:tcW w:w="2103" w:type="dxa"/>
            <w:tcBorders>
              <w:bottom w:val="dotted" w:sz="6" w:space="0" w:color="0033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6B72" w:rsidRPr="00F46B72" w:rsidRDefault="003C2073" w:rsidP="00F46B72">
            <w:pPr>
              <w:spacing w:before="96" w:after="192" w:line="240" w:lineRule="auto"/>
              <w:jc w:val="both"/>
              <w:rPr>
                <w:rFonts w:ascii="Verdana" w:eastAsia="Times New Roman" w:hAnsi="Verdana" w:cs="Times New Roman"/>
                <w:color w:val="525252"/>
                <w:sz w:val="16"/>
                <w:szCs w:val="16"/>
                <w:lang w:val="en-US" w:eastAsia="it-IT"/>
              </w:rPr>
            </w:pPr>
            <w:hyperlink r:id="rId8" w:history="1">
              <w:r w:rsidR="00F46B72" w:rsidRPr="00F46B72">
                <w:rPr>
                  <w:rFonts w:ascii="Verdana" w:eastAsia="Times New Roman" w:hAnsi="Verdana" w:cs="Times New Roman"/>
                  <w:b/>
                  <w:bCs/>
                  <w:color w:val="336699"/>
                  <w:sz w:val="16"/>
                  <w:szCs w:val="16"/>
                  <w:u w:val="single"/>
                  <w:lang w:val="en-US" w:eastAsia="it-IT"/>
                </w:rPr>
                <w:t>Art. 374</w:t>
              </w:r>
            </w:hyperlink>
            <w:r w:rsidR="00F46B72" w:rsidRPr="00F46B72">
              <w:rPr>
                <w:rFonts w:ascii="Verdana" w:eastAsia="Times New Roman" w:hAnsi="Verdana" w:cs="Times New Roman"/>
                <w:b/>
                <w:bCs/>
                <w:color w:val="525252"/>
                <w:sz w:val="16"/>
                <w:szCs w:val="16"/>
                <w:lang w:val="en-US" w:eastAsia="it-IT"/>
              </w:rPr>
              <w:t> - </w:t>
            </w:r>
            <w:hyperlink r:id="rId9" w:history="1">
              <w:r w:rsidR="00F46B72" w:rsidRPr="00F46B72">
                <w:rPr>
                  <w:rFonts w:ascii="Verdana" w:eastAsia="Times New Roman" w:hAnsi="Verdana" w:cs="Times New Roman"/>
                  <w:b/>
                  <w:bCs/>
                  <w:color w:val="336699"/>
                  <w:sz w:val="16"/>
                  <w:szCs w:val="16"/>
                  <w:u w:val="single"/>
                  <w:lang w:val="en-US" w:eastAsia="it-IT"/>
                </w:rPr>
                <w:t>375 cod. civ.</w:t>
              </w:r>
            </w:hyperlink>
            <w:r w:rsidR="00F46B72" w:rsidRPr="00F46B72">
              <w:rPr>
                <w:rFonts w:ascii="Verdana" w:eastAsia="Times New Roman" w:hAnsi="Verdana" w:cs="Times New Roman"/>
                <w:b/>
                <w:bCs/>
                <w:color w:val="525252"/>
                <w:sz w:val="16"/>
                <w:szCs w:val="16"/>
                <w:lang w:val="en-US" w:eastAsia="it-IT"/>
              </w:rPr>
              <w:t> - </w:t>
            </w:r>
            <w:hyperlink r:id="rId10" w:history="1">
              <w:r w:rsidR="00F46B72" w:rsidRPr="00F46B72">
                <w:rPr>
                  <w:rFonts w:ascii="Verdana" w:eastAsia="Times New Roman" w:hAnsi="Verdana" w:cs="Times New Roman"/>
                  <w:b/>
                  <w:bCs/>
                  <w:color w:val="003366"/>
                  <w:sz w:val="16"/>
                  <w:szCs w:val="16"/>
                  <w:lang w:val="en-US" w:eastAsia="it-IT"/>
                </w:rPr>
                <w:t>424 cod. civ.</w:t>
              </w:r>
            </w:hyperlink>
          </w:p>
        </w:tc>
      </w:tr>
    </w:tbl>
    <w:p w:rsidR="00E13F04" w:rsidRPr="00E13F04" w:rsidRDefault="00E13F04" w:rsidP="00E13F04">
      <w:pPr>
        <w:shd w:val="clear" w:color="auto" w:fill="FFFFFF"/>
        <w:spacing w:before="96" w:after="192" w:line="240" w:lineRule="auto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L’istanza deve essere presentata dal tutore.</w:t>
      </w: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br/>
      </w:r>
      <w:proofErr w:type="gramStart"/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E'</w:t>
      </w:r>
      <w:proofErr w:type="gramEnd"/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 xml:space="preserve"> competente il Giudice Tutelare che ha in carico la tutela.</w:t>
      </w: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br/>
        <w:t>Occorre allegare a seconda dei casi la documentazione utile, ad esempio:</w:t>
      </w:r>
    </w:p>
    <w:p w:rsidR="00E13F04" w:rsidRPr="00E13F04" w:rsidRDefault="00E13F04" w:rsidP="00E1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documentazione della somma da riscuotere;</w:t>
      </w:r>
    </w:p>
    <w:p w:rsidR="00E13F04" w:rsidRPr="00E13F04" w:rsidRDefault="00E13F04" w:rsidP="00E1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eventuale testamento;</w:t>
      </w:r>
    </w:p>
    <w:p w:rsidR="00E13F04" w:rsidRPr="00E13F04" w:rsidRDefault="00E13F04" w:rsidP="00E1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documentazione sulla passività dell'eredità;</w:t>
      </w:r>
    </w:p>
    <w:p w:rsidR="00E13F04" w:rsidRPr="00E13F04" w:rsidRDefault="00E13F04" w:rsidP="00E1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perizia asseverata con materiale fotografico descrittivo dell'immobile da acquistare;</w:t>
      </w:r>
    </w:p>
    <w:p w:rsidR="00E13F04" w:rsidRPr="00E13F04" w:rsidRDefault="00E13F04" w:rsidP="00E1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documentazione delle spese sostenute ed eventualmente da sostenere;</w:t>
      </w:r>
    </w:p>
    <w:p w:rsidR="00E13F04" w:rsidRDefault="00E13F04" w:rsidP="00E1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  <w:r w:rsidRPr="00E13F04"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  <w:t>atti di causa.</w:t>
      </w:r>
    </w:p>
    <w:p w:rsidR="003671D2" w:rsidRPr="00E13F04" w:rsidRDefault="003671D2" w:rsidP="003671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25252"/>
          <w:sz w:val="16"/>
          <w:szCs w:val="16"/>
          <w:lang w:eastAsia="it-IT"/>
        </w:rPr>
      </w:pPr>
    </w:p>
    <w:p w:rsidR="003671D2" w:rsidRDefault="003671D2" w:rsidP="003671D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b/>
          <w:color w:val="525252"/>
          <w:sz w:val="16"/>
          <w:szCs w:val="16"/>
          <w:lang w:eastAsia="it-IT"/>
        </w:rPr>
      </w:pPr>
      <w:r w:rsidRPr="003671D2">
        <w:rPr>
          <w:rFonts w:ascii="Verdana" w:eastAsia="Times New Roman" w:hAnsi="Verdana" w:cs="Times New Roman"/>
          <w:b/>
          <w:color w:val="525252"/>
          <w:sz w:val="16"/>
          <w:szCs w:val="16"/>
          <w:lang w:eastAsia="it-IT"/>
        </w:rPr>
        <w:t>Esente da contributo unificato</w:t>
      </w:r>
    </w:p>
    <w:p w:rsidR="004703B6" w:rsidRPr="006221A6" w:rsidRDefault="006221A6">
      <w:r w:rsidRPr="006221A6">
        <w:t xml:space="preserve">Sono dovuti solo I diritti di copia </w:t>
      </w:r>
    </w:p>
    <w:sectPr w:rsidR="004703B6" w:rsidRPr="00622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20"/>
    <w:multiLevelType w:val="multilevel"/>
    <w:tmpl w:val="4AF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3C63"/>
    <w:multiLevelType w:val="multilevel"/>
    <w:tmpl w:val="D3F4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01B"/>
    <w:rsid w:val="000C2C1A"/>
    <w:rsid w:val="002E5658"/>
    <w:rsid w:val="003174A0"/>
    <w:rsid w:val="003671D2"/>
    <w:rsid w:val="003C2073"/>
    <w:rsid w:val="004703B6"/>
    <w:rsid w:val="006221A6"/>
    <w:rsid w:val="00801BC7"/>
    <w:rsid w:val="00E13F04"/>
    <w:rsid w:val="00F46B72"/>
    <w:rsid w:val="00F6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4E9A-1050-41A5-82F9-F3E536B8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7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46B7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46B7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eappello.genova.it/ug-content/Atti_straordinaria_amministrazione_afavore_interdetto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teappello.genova.it/ug-content/Atti_straordin_amministrazione_favore_inabilitato_e_minore_interdetto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teappello.genova.it/ug-content/Art_375_codice_civile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teappello.genova.it/ug-content/Atti_straordinaria_amministrazione_afavore_interdetto.rtf" TargetMode="External"/><Relationship Id="rId10" Type="http://schemas.openxmlformats.org/officeDocument/2006/relationships/hyperlink" Target="http://www.corteappello.genova.it/ug-content/Atti_straordin_amministrazione_favore_inabilitato_e_minore_interdetto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teappello.genova.it/ug-content/Art_375_codice_civile.rt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Maria Antonella Giudice</dc:creator>
  <cp:keywords/>
  <dc:description/>
  <cp:lastModifiedBy>Filippo Pasqualetto</cp:lastModifiedBy>
  <cp:revision>2</cp:revision>
  <cp:lastPrinted>2021-09-07T10:23:00Z</cp:lastPrinted>
  <dcterms:created xsi:type="dcterms:W3CDTF">2021-12-09T14:01:00Z</dcterms:created>
  <dcterms:modified xsi:type="dcterms:W3CDTF">2021-12-09T14:01:00Z</dcterms:modified>
</cp:coreProperties>
</file>